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A7E5B" w14:textId="77777777" w:rsidR="000B4433" w:rsidRDefault="000B4433" w:rsidP="000B4433">
      <w:pPr>
        <w:spacing w:line="240" w:lineRule="auto"/>
        <w:jc w:val="center"/>
        <w:rPr>
          <w:rFonts w:ascii="Arial" w:eastAsia="Times New Roman" w:hAnsi="Arial" w:cs="Arial"/>
          <w:b/>
          <w:bCs/>
          <w:sz w:val="24"/>
          <w:szCs w:val="24"/>
          <w:lang w:eastAsia="en-GB"/>
        </w:rPr>
      </w:pPr>
      <w:bookmarkStart w:id="0" w:name="_GoBack"/>
      <w:bookmarkEnd w:id="0"/>
    </w:p>
    <w:p w14:paraId="208E41ED" w14:textId="77777777" w:rsidR="000B4433" w:rsidRPr="0048588C" w:rsidRDefault="000B4433" w:rsidP="000B4433">
      <w:pPr>
        <w:spacing w:line="240" w:lineRule="auto"/>
        <w:jc w:val="center"/>
        <w:rPr>
          <w:rFonts w:ascii="Arial" w:eastAsia="Times New Roman" w:hAnsi="Arial" w:cs="Arial"/>
          <w:b/>
          <w:bCs/>
          <w:sz w:val="24"/>
          <w:szCs w:val="24"/>
          <w:lang w:eastAsia="en-GB"/>
        </w:rPr>
      </w:pPr>
      <w:r w:rsidRPr="0048588C">
        <w:rPr>
          <w:rFonts w:ascii="Arial" w:eastAsia="Times New Roman" w:hAnsi="Arial" w:cs="Arial"/>
          <w:b/>
          <w:bCs/>
          <w:sz w:val="24"/>
          <w:szCs w:val="24"/>
          <w:lang w:eastAsia="en-GB"/>
        </w:rPr>
        <w:t xml:space="preserve">Environment (Wales) Act 2016 Part 1 – </w:t>
      </w:r>
      <w:r>
        <w:rPr>
          <w:rFonts w:ascii="Arial" w:eastAsia="Times New Roman" w:hAnsi="Arial" w:cs="Arial"/>
          <w:b/>
          <w:bCs/>
          <w:sz w:val="24"/>
          <w:szCs w:val="24"/>
          <w:lang w:eastAsia="en-GB"/>
        </w:rPr>
        <w:t>Section 6</w:t>
      </w:r>
    </w:p>
    <w:p w14:paraId="0C83E4E9" w14:textId="77777777" w:rsidR="000B4433" w:rsidRPr="0048588C" w:rsidRDefault="000B4433" w:rsidP="000B4433">
      <w:pPr>
        <w:spacing w:line="240" w:lineRule="auto"/>
        <w:jc w:val="center"/>
        <w:rPr>
          <w:rFonts w:ascii="Arial" w:eastAsia="Times New Roman" w:hAnsi="Arial" w:cs="Arial"/>
          <w:b/>
          <w:bCs/>
          <w:sz w:val="24"/>
          <w:szCs w:val="24"/>
          <w:lang w:eastAsia="en-GB"/>
        </w:rPr>
      </w:pPr>
      <w:r w:rsidRPr="0048588C">
        <w:rPr>
          <w:rFonts w:ascii="Arial" w:eastAsia="Times New Roman" w:hAnsi="Arial" w:cs="Arial"/>
          <w:b/>
          <w:bCs/>
          <w:sz w:val="24"/>
          <w:szCs w:val="24"/>
          <w:lang w:eastAsia="en-GB"/>
        </w:rPr>
        <w:t>The Biodiversity and Resilience of Ecosystems Duty</w:t>
      </w:r>
    </w:p>
    <w:p w14:paraId="3AF180E2" w14:textId="77777777" w:rsidR="000B4433" w:rsidRPr="0048588C" w:rsidRDefault="000B4433" w:rsidP="000B4433">
      <w:pPr>
        <w:spacing w:line="240" w:lineRule="auto"/>
        <w:jc w:val="center"/>
        <w:rPr>
          <w:rFonts w:ascii="Arial" w:eastAsia="Times New Roman" w:hAnsi="Arial" w:cs="Arial"/>
          <w:b/>
          <w:bCs/>
          <w:sz w:val="24"/>
          <w:szCs w:val="24"/>
          <w:lang w:eastAsia="en-GB"/>
        </w:rPr>
      </w:pPr>
    </w:p>
    <w:p w14:paraId="5DEA2774" w14:textId="77777777" w:rsidR="000B4433" w:rsidRPr="0048588C" w:rsidRDefault="000B4433" w:rsidP="000B4433">
      <w:pPr>
        <w:spacing w:line="240" w:lineRule="auto"/>
        <w:jc w:val="center"/>
        <w:rPr>
          <w:rFonts w:ascii="Arial" w:eastAsia="Times New Roman" w:hAnsi="Arial" w:cs="Arial"/>
          <w:b/>
          <w:bCs/>
          <w:sz w:val="24"/>
          <w:szCs w:val="24"/>
          <w:lang w:eastAsia="en-GB"/>
        </w:rPr>
      </w:pPr>
    </w:p>
    <w:p w14:paraId="7AF886AC" w14:textId="4A01A4DC" w:rsidR="000B4433" w:rsidRDefault="000B4433" w:rsidP="000B4433">
      <w:pPr>
        <w:spacing w:line="240" w:lineRule="auto"/>
        <w:jc w:val="center"/>
        <w:rPr>
          <w:rFonts w:ascii="Arial" w:eastAsia="Times New Roman" w:hAnsi="Arial" w:cs="Arial"/>
          <w:b/>
          <w:bCs/>
          <w:sz w:val="24"/>
          <w:szCs w:val="24"/>
          <w:lang w:eastAsia="en-GB"/>
        </w:rPr>
      </w:pPr>
      <w:r w:rsidRPr="003B789B">
        <w:rPr>
          <w:rFonts w:ascii="Arial" w:eastAsia="Times New Roman" w:hAnsi="Arial" w:cs="Arial"/>
          <w:b/>
          <w:bCs/>
          <w:sz w:val="24"/>
          <w:szCs w:val="24"/>
          <w:lang w:eastAsia="en-GB"/>
        </w:rPr>
        <w:t>Reporting on Section 6</w:t>
      </w:r>
      <w:r>
        <w:rPr>
          <w:rFonts w:ascii="Arial" w:eastAsia="Times New Roman" w:hAnsi="Arial" w:cs="Arial"/>
          <w:b/>
          <w:bCs/>
          <w:sz w:val="24"/>
          <w:szCs w:val="24"/>
          <w:lang w:eastAsia="en-GB"/>
        </w:rPr>
        <w:t xml:space="preserve"> – </w:t>
      </w:r>
      <w:proofErr w:type="spellStart"/>
      <w:r>
        <w:rPr>
          <w:rFonts w:ascii="Arial" w:eastAsia="Times New Roman" w:hAnsi="Arial" w:cs="Arial"/>
          <w:b/>
          <w:bCs/>
          <w:sz w:val="24"/>
          <w:szCs w:val="24"/>
          <w:lang w:eastAsia="en-GB"/>
        </w:rPr>
        <w:t>Crai</w:t>
      </w:r>
      <w:proofErr w:type="spellEnd"/>
      <w:r>
        <w:rPr>
          <w:rFonts w:ascii="Arial" w:eastAsia="Times New Roman" w:hAnsi="Arial" w:cs="Arial"/>
          <w:b/>
          <w:bCs/>
          <w:sz w:val="24"/>
          <w:szCs w:val="24"/>
          <w:lang w:eastAsia="en-GB"/>
        </w:rPr>
        <w:t xml:space="preserve"> Community Council</w:t>
      </w:r>
    </w:p>
    <w:p w14:paraId="2B536627" w14:textId="5EAF18B0" w:rsidR="000B4433" w:rsidRPr="003B789B" w:rsidRDefault="000B4433" w:rsidP="000B4433">
      <w:pPr>
        <w:spacing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202</w:t>
      </w:r>
      <w:r w:rsidR="00947BEF">
        <w:rPr>
          <w:rFonts w:ascii="Arial" w:eastAsia="Times New Roman" w:hAnsi="Arial" w:cs="Arial"/>
          <w:b/>
          <w:bCs/>
          <w:sz w:val="24"/>
          <w:szCs w:val="24"/>
          <w:lang w:eastAsia="en-GB"/>
        </w:rPr>
        <w:t>3</w:t>
      </w:r>
    </w:p>
    <w:p w14:paraId="69204C7B" w14:textId="6B00B7E1" w:rsidR="000B4433" w:rsidRDefault="000B4433">
      <w:r>
        <w:br w:type="page"/>
      </w:r>
    </w:p>
    <w:tbl>
      <w:tblPr>
        <w:tblStyle w:val="TableGrid"/>
        <w:tblW w:w="9322" w:type="dxa"/>
        <w:tblLook w:val="04A0" w:firstRow="1" w:lastRow="0" w:firstColumn="1" w:lastColumn="0" w:noHBand="0" w:noVBand="1"/>
      </w:tblPr>
      <w:tblGrid>
        <w:gridCol w:w="9322"/>
      </w:tblGrid>
      <w:tr w:rsidR="000B4433" w:rsidRPr="002D7E92" w14:paraId="6FD7EDE9" w14:textId="77777777" w:rsidTr="00AE6B48">
        <w:tc>
          <w:tcPr>
            <w:tcW w:w="9322" w:type="dxa"/>
          </w:tcPr>
          <w:p w14:paraId="77E89FF8" w14:textId="77777777" w:rsidR="000B4433" w:rsidRPr="002D7E92" w:rsidRDefault="000B4433" w:rsidP="00AE6B48">
            <w:pPr>
              <w:spacing w:after="160" w:line="259" w:lineRule="auto"/>
              <w:rPr>
                <w:rFonts w:ascii="Arial" w:hAnsi="Arial" w:cs="Arial"/>
                <w:b/>
                <w:i/>
                <w:sz w:val="24"/>
                <w:szCs w:val="24"/>
              </w:rPr>
            </w:pPr>
            <w:r w:rsidRPr="002D7E92">
              <w:rPr>
                <w:rFonts w:ascii="Arial" w:hAnsi="Arial" w:cs="Arial"/>
                <w:b/>
                <w:i/>
                <w:sz w:val="24"/>
                <w:szCs w:val="24"/>
              </w:rPr>
              <w:lastRenderedPageBreak/>
              <w:t>Environment (Wales) Act 2016 Part 1 - Section 6</w:t>
            </w:r>
          </w:p>
          <w:p w14:paraId="324DDB04" w14:textId="6A7699C8" w:rsidR="000B4433" w:rsidRPr="002D7E92" w:rsidRDefault="000B4433" w:rsidP="00AE6B48">
            <w:pPr>
              <w:spacing w:after="160" w:line="259" w:lineRule="auto"/>
              <w:rPr>
                <w:rFonts w:ascii="Arial" w:hAnsi="Arial" w:cs="Arial"/>
                <w:b/>
                <w:i/>
                <w:sz w:val="24"/>
                <w:szCs w:val="24"/>
              </w:rPr>
            </w:pPr>
            <w:r w:rsidRPr="002D7E92">
              <w:rPr>
                <w:rFonts w:ascii="Arial" w:hAnsi="Arial" w:cs="Arial"/>
                <w:b/>
                <w:i/>
                <w:sz w:val="24"/>
                <w:szCs w:val="24"/>
              </w:rPr>
              <w:t>The Biodiversity and Resilience of Ecosystems Duty</w:t>
            </w:r>
            <w:r>
              <w:rPr>
                <w:rFonts w:ascii="Arial" w:hAnsi="Arial" w:cs="Arial"/>
                <w:b/>
                <w:i/>
                <w:sz w:val="24"/>
                <w:szCs w:val="24"/>
              </w:rPr>
              <w:t xml:space="preserve"> </w:t>
            </w:r>
            <w:r w:rsidRPr="002D7E92">
              <w:rPr>
                <w:rFonts w:ascii="Arial" w:hAnsi="Arial" w:cs="Arial"/>
                <w:b/>
                <w:i/>
                <w:sz w:val="24"/>
                <w:szCs w:val="24"/>
              </w:rPr>
              <w:t>Report 20</w:t>
            </w:r>
            <w:r>
              <w:rPr>
                <w:rFonts w:ascii="Arial" w:hAnsi="Arial" w:cs="Arial"/>
                <w:b/>
                <w:i/>
                <w:sz w:val="24"/>
                <w:szCs w:val="24"/>
              </w:rPr>
              <w:t>23</w:t>
            </w:r>
          </w:p>
        </w:tc>
      </w:tr>
      <w:tr w:rsidR="000B4433" w:rsidRPr="002D7E92" w14:paraId="224436A7" w14:textId="77777777" w:rsidTr="00AE6B48">
        <w:tc>
          <w:tcPr>
            <w:tcW w:w="9322" w:type="dxa"/>
          </w:tcPr>
          <w:p w14:paraId="49CEEC18" w14:textId="3A886285" w:rsidR="000B4433" w:rsidRPr="002D7E92" w:rsidRDefault="000B4433" w:rsidP="00AE6B48">
            <w:pPr>
              <w:spacing w:after="160" w:line="259" w:lineRule="auto"/>
              <w:rPr>
                <w:rFonts w:ascii="Arial" w:hAnsi="Arial" w:cs="Arial"/>
                <w:sz w:val="24"/>
                <w:szCs w:val="24"/>
              </w:rPr>
            </w:pPr>
            <w:r w:rsidRPr="002D7E92">
              <w:rPr>
                <w:rFonts w:ascii="Arial" w:hAnsi="Arial" w:cs="Arial"/>
                <w:b/>
                <w:sz w:val="24"/>
                <w:szCs w:val="24"/>
              </w:rPr>
              <w:t xml:space="preserve">Name of </w:t>
            </w:r>
            <w:r>
              <w:rPr>
                <w:rFonts w:ascii="Arial" w:hAnsi="Arial" w:cs="Arial"/>
                <w:b/>
                <w:sz w:val="24"/>
                <w:szCs w:val="24"/>
              </w:rPr>
              <w:t xml:space="preserve">Town or Community Council:  </w:t>
            </w:r>
            <w:proofErr w:type="spellStart"/>
            <w:r>
              <w:rPr>
                <w:rFonts w:ascii="Arial" w:hAnsi="Arial" w:cs="Arial"/>
                <w:b/>
                <w:sz w:val="24"/>
                <w:szCs w:val="24"/>
              </w:rPr>
              <w:t>Crai</w:t>
            </w:r>
            <w:proofErr w:type="spellEnd"/>
          </w:p>
        </w:tc>
      </w:tr>
      <w:tr w:rsidR="00947BEF" w:rsidRPr="002D7E92" w14:paraId="2AC6605A" w14:textId="77777777" w:rsidTr="00AE6B48">
        <w:tc>
          <w:tcPr>
            <w:tcW w:w="9322" w:type="dxa"/>
          </w:tcPr>
          <w:p w14:paraId="2987BED5" w14:textId="77777777" w:rsidR="00947BEF" w:rsidRPr="002D7E92" w:rsidRDefault="00947BEF" w:rsidP="00947BEF">
            <w:pPr>
              <w:spacing w:after="160" w:line="259" w:lineRule="auto"/>
              <w:rPr>
                <w:rFonts w:ascii="Arial" w:hAnsi="Arial" w:cs="Arial"/>
                <w:sz w:val="24"/>
                <w:szCs w:val="24"/>
              </w:rPr>
            </w:pPr>
            <w:r w:rsidRPr="002D7E92">
              <w:rPr>
                <w:rFonts w:ascii="Arial" w:hAnsi="Arial" w:cs="Arial"/>
                <w:b/>
                <w:sz w:val="24"/>
                <w:szCs w:val="24"/>
              </w:rPr>
              <w:t>Introduction and Context</w:t>
            </w:r>
          </w:p>
          <w:p w14:paraId="57B0B6D6" w14:textId="11DDBA84" w:rsidR="00947BEF" w:rsidRDefault="00947BEF" w:rsidP="00947BEF">
            <w:pPr>
              <w:pStyle w:val="Default"/>
              <w:rPr>
                <w:shd w:val="clear" w:color="auto" w:fill="FFFFFF"/>
              </w:rPr>
            </w:pPr>
            <w:proofErr w:type="spellStart"/>
            <w:r w:rsidRPr="00EA4D38">
              <w:rPr>
                <w:shd w:val="clear" w:color="auto" w:fill="FFFFFF"/>
              </w:rPr>
              <w:t>Crai</w:t>
            </w:r>
            <w:proofErr w:type="spellEnd"/>
            <w:r w:rsidRPr="00EA4D38">
              <w:rPr>
                <w:shd w:val="clear" w:color="auto" w:fill="FFFFFF"/>
              </w:rPr>
              <w:t xml:space="preserve"> is a community of </w:t>
            </w:r>
            <w:r>
              <w:rPr>
                <w:shd w:val="clear" w:color="auto" w:fill="FFFFFF"/>
              </w:rPr>
              <w:t xml:space="preserve">approximately </w:t>
            </w:r>
            <w:r w:rsidRPr="00EA4D38">
              <w:rPr>
                <w:shd w:val="clear" w:color="auto" w:fill="FFFFFF"/>
              </w:rPr>
              <w:t>256 people comprising 121 individual households</w:t>
            </w:r>
            <w:r>
              <w:rPr>
                <w:shd w:val="clear" w:color="auto" w:fill="FFFFFF"/>
              </w:rPr>
              <w:t>, 25% of whom are over 60 years of age</w:t>
            </w:r>
            <w:r>
              <w:rPr>
                <w:rStyle w:val="FootnoteReference"/>
                <w:shd w:val="clear" w:color="auto" w:fill="FFFFFF"/>
              </w:rPr>
              <w:footnoteReference w:id="1"/>
            </w:r>
            <w:r w:rsidRPr="00EA4D38">
              <w:rPr>
                <w:shd w:val="clear" w:color="auto" w:fill="FFFFFF"/>
              </w:rPr>
              <w:t xml:space="preserve"> set within 4770 hectares (18.5 square miles) of the Brecon Beacons National Park within the County of Powys in Wales. The predominant economic activities are </w:t>
            </w:r>
            <w:r>
              <w:rPr>
                <w:shd w:val="clear" w:color="auto" w:fill="FFFFFF"/>
              </w:rPr>
              <w:t xml:space="preserve">within the </w:t>
            </w:r>
            <w:r w:rsidRPr="00EA4D38">
              <w:rPr>
                <w:shd w:val="clear" w:color="auto" w:fill="FFFFFF"/>
              </w:rPr>
              <w:t>agriculture and tourism</w:t>
            </w:r>
            <w:r>
              <w:rPr>
                <w:shd w:val="clear" w:color="auto" w:fill="FFFFFF"/>
              </w:rPr>
              <w:t xml:space="preserve"> </w:t>
            </w:r>
            <w:r w:rsidRPr="00D92D10">
              <w:t>based economy (27%) with the public sector (30%) as the largest employer group</w:t>
            </w:r>
            <w:r>
              <w:t xml:space="preserve"> </w:t>
            </w:r>
            <w:r w:rsidRPr="00D92D10">
              <w:t>(UK –</w:t>
            </w:r>
            <w:r>
              <w:t xml:space="preserve"> </w:t>
            </w:r>
            <w:r w:rsidRPr="00D92D10">
              <w:t>0.94% and 25% respectively)</w:t>
            </w:r>
            <w:r>
              <w:rPr>
                <w:rStyle w:val="FootnoteReference"/>
              </w:rPr>
              <w:footnoteReference w:id="2"/>
            </w:r>
            <w:r w:rsidRPr="00EA4D38">
              <w:rPr>
                <w:shd w:val="clear" w:color="auto" w:fill="FFFFFF"/>
              </w:rPr>
              <w:t>.  With no other local employer’s individuals either commute or work from home. In terms of access to services the area is categorised as one of the 10% of most deprived areas in Wales</w:t>
            </w:r>
            <w:r>
              <w:rPr>
                <w:rStyle w:val="FootnoteReference"/>
                <w:shd w:val="clear" w:color="auto" w:fill="FFFFFF"/>
              </w:rPr>
              <w:footnoteReference w:id="3"/>
            </w:r>
            <w:r w:rsidRPr="00EA4D38">
              <w:rPr>
                <w:shd w:val="clear" w:color="auto" w:fill="FFFFFF"/>
              </w:rPr>
              <w:t>.   The area is one of 11 drinking water catchments in the Brecon Beacons Mega water Catchment which supplies South Wales.</w:t>
            </w:r>
            <w:r>
              <w:rPr>
                <w:shd w:val="clear" w:color="auto" w:fill="FFFFFF"/>
              </w:rPr>
              <w:t xml:space="preserve">  The 2023 Precept is £7100.  </w:t>
            </w:r>
          </w:p>
          <w:p w14:paraId="31631832" w14:textId="77777777" w:rsidR="00947BEF" w:rsidRDefault="00947BEF" w:rsidP="00947BEF">
            <w:pPr>
              <w:rPr>
                <w:rFonts w:ascii="Arial" w:hAnsi="Arial" w:cs="Arial"/>
                <w:sz w:val="24"/>
                <w:szCs w:val="24"/>
                <w:shd w:val="clear" w:color="auto" w:fill="FFFFFF"/>
              </w:rPr>
            </w:pPr>
          </w:p>
          <w:p w14:paraId="41A3F195" w14:textId="77777777" w:rsidR="00947BEF" w:rsidRPr="00C64DD6" w:rsidRDefault="00947BEF" w:rsidP="00947BEF">
            <w:pPr>
              <w:rPr>
                <w:rFonts w:ascii="Arial" w:hAnsi="Arial" w:cs="Arial"/>
                <w:sz w:val="24"/>
                <w:szCs w:val="24"/>
              </w:rPr>
            </w:pPr>
            <w:r w:rsidRPr="00C64DD6">
              <w:rPr>
                <w:rFonts w:ascii="Arial" w:hAnsi="Arial" w:cs="Arial"/>
                <w:sz w:val="24"/>
                <w:szCs w:val="24"/>
                <w:shd w:val="clear" w:color="auto" w:fill="FFFFFF"/>
              </w:rPr>
              <w:t>This Plan</w:t>
            </w:r>
            <w:r>
              <w:rPr>
                <w:rFonts w:ascii="Arial" w:hAnsi="Arial" w:cs="Arial"/>
                <w:sz w:val="24"/>
                <w:szCs w:val="24"/>
                <w:shd w:val="clear" w:color="auto" w:fill="FFFFFF"/>
              </w:rPr>
              <w:t xml:space="preserve"> </w:t>
            </w:r>
            <w:r w:rsidRPr="00C64DD6">
              <w:rPr>
                <w:rFonts w:ascii="Arial" w:hAnsi="Arial" w:cs="Arial"/>
                <w:sz w:val="24"/>
                <w:szCs w:val="24"/>
                <w:shd w:val="clear" w:color="auto" w:fill="FFFFFF"/>
              </w:rPr>
              <w:t xml:space="preserve">has been developed to complement existing Local Biodiversity Action Plans held by Brecon Beacons National Park Authority </w:t>
            </w:r>
            <w:r w:rsidRPr="00D92D10">
              <w:rPr>
                <w:rFonts w:ascii="Arial" w:hAnsi="Arial" w:cs="Arial"/>
                <w:sz w:val="24"/>
                <w:szCs w:val="24"/>
                <w:shd w:val="clear" w:color="auto" w:fill="FFFFFF"/>
              </w:rPr>
              <w:t xml:space="preserve">and Powys County Council as well as </w:t>
            </w:r>
            <w:r w:rsidRPr="00D92D10">
              <w:rPr>
                <w:rFonts w:ascii="Arial" w:hAnsi="Arial" w:cs="Arial"/>
                <w:sz w:val="24"/>
                <w:szCs w:val="24"/>
              </w:rPr>
              <w:t>the NRW Mid-Wales Area Statement</w:t>
            </w:r>
            <w:r w:rsidRPr="00D92D10">
              <w:rPr>
                <w:rFonts w:ascii="Arial" w:hAnsi="Arial" w:cs="Arial"/>
                <w:sz w:val="24"/>
                <w:szCs w:val="24"/>
                <w:shd w:val="clear" w:color="auto" w:fill="FFFFFF"/>
              </w:rPr>
              <w:t>.</w:t>
            </w:r>
            <w:r w:rsidRPr="00C64DD6">
              <w:rPr>
                <w:rFonts w:ascii="Arial" w:hAnsi="Arial" w:cs="Arial"/>
                <w:sz w:val="24"/>
                <w:szCs w:val="24"/>
                <w:shd w:val="clear" w:color="auto" w:fill="FFFFFF"/>
              </w:rPr>
              <w:t xml:space="preserve"> In addition, the Plan recognises its responsibilities under the Environment Act (Wales) 2016 which stipulates: authorities </w:t>
            </w:r>
            <w:r w:rsidRPr="00C64DD6">
              <w:rPr>
                <w:rFonts w:ascii="Arial" w:hAnsi="Arial" w:cs="Arial"/>
                <w:i/>
                <w:sz w:val="24"/>
                <w:szCs w:val="24"/>
                <w:shd w:val="clear" w:color="auto" w:fill="FFFFFF"/>
              </w:rPr>
              <w:t>"must seek to maintain and enhance biodiversity in the proper exercise of their functions and in doing so promote the resilience of ecosystems".</w:t>
            </w:r>
          </w:p>
          <w:p w14:paraId="4977BC8B" w14:textId="77777777" w:rsidR="00947BEF" w:rsidRDefault="00947BEF" w:rsidP="00947BEF">
            <w:pPr>
              <w:rPr>
                <w:sz w:val="24"/>
                <w:szCs w:val="24"/>
              </w:rPr>
            </w:pPr>
          </w:p>
          <w:p w14:paraId="1188EB0E" w14:textId="43CBAF15" w:rsidR="00947BEF" w:rsidRPr="00822A27" w:rsidRDefault="00947BEF" w:rsidP="00947BEF">
            <w:pPr>
              <w:rPr>
                <w:rFonts w:ascii="Arial" w:hAnsi="Arial" w:cs="Arial"/>
                <w:sz w:val="24"/>
                <w:szCs w:val="24"/>
              </w:rPr>
            </w:pPr>
            <w:proofErr w:type="spellStart"/>
            <w:r>
              <w:rPr>
                <w:rFonts w:ascii="Arial" w:hAnsi="Arial" w:cs="Arial"/>
                <w:sz w:val="24"/>
                <w:szCs w:val="24"/>
              </w:rPr>
              <w:t>Crai</w:t>
            </w:r>
            <w:proofErr w:type="spellEnd"/>
            <w:r>
              <w:rPr>
                <w:rFonts w:ascii="Arial" w:hAnsi="Arial" w:cs="Arial"/>
                <w:sz w:val="24"/>
                <w:szCs w:val="24"/>
              </w:rPr>
              <w:t xml:space="preserve"> </w:t>
            </w:r>
            <w:r w:rsidRPr="00822A27">
              <w:rPr>
                <w:rFonts w:ascii="Arial" w:hAnsi="Arial" w:cs="Arial"/>
                <w:sz w:val="24"/>
                <w:szCs w:val="24"/>
              </w:rPr>
              <w:t xml:space="preserve">Community Council </w:t>
            </w:r>
            <w:r>
              <w:rPr>
                <w:rFonts w:ascii="Arial" w:hAnsi="Arial" w:cs="Arial"/>
                <w:sz w:val="24"/>
                <w:szCs w:val="24"/>
              </w:rPr>
              <w:t>has limited influence for the management of green spaces within our area as we own no land, property or assets other than the Community Hall which is on long term lease to the Hall Management Committee.  However, we seek to work constructively with the Brecon Beacons National Park, Powys County Council and other partners to support and improve biodiversity here.  Support is provided to various groups within the community including a village gardening club and several small cultural and environmental linked groups.</w:t>
            </w:r>
            <w:r>
              <w:rPr>
                <w:rFonts w:cs="Courier New"/>
                <w:sz w:val="30"/>
                <w:szCs w:val="30"/>
                <w:shd w:val="clear" w:color="auto" w:fill="FFFFFF"/>
              </w:rPr>
              <w:t xml:space="preserve"> </w:t>
            </w:r>
            <w:r w:rsidRPr="006B6F9D">
              <w:rPr>
                <w:rFonts w:ascii="Arial" w:hAnsi="Arial" w:cs="Arial"/>
                <w:sz w:val="24"/>
                <w:szCs w:val="24"/>
                <w:shd w:val="clear" w:color="auto" w:fill="FFFFFF"/>
              </w:rPr>
              <w:t xml:space="preserve">These actions form part of a wider plan which acknowledges that under the Well-being of Future Generations (Wales) Act 2015, the Community Council should provide for </w:t>
            </w:r>
            <w:r w:rsidRPr="006B6F9D">
              <w:rPr>
                <w:rFonts w:ascii="Arial" w:hAnsi="Arial" w:cs="Arial"/>
                <w:i/>
                <w:sz w:val="24"/>
                <w:szCs w:val="24"/>
                <w:shd w:val="clear" w:color="auto" w:fill="FFFFFF"/>
              </w:rPr>
              <w:t>"a prosperous economy, a healthy and resilient environment and vibrant cohesive communities"</w:t>
            </w:r>
            <w:r>
              <w:rPr>
                <w:rFonts w:ascii="Arial" w:hAnsi="Arial" w:cs="Arial"/>
                <w:i/>
                <w:sz w:val="24"/>
                <w:szCs w:val="24"/>
                <w:shd w:val="clear" w:color="auto" w:fill="FFFFFF"/>
              </w:rPr>
              <w:t>.</w:t>
            </w:r>
          </w:p>
          <w:p w14:paraId="4CAE214C" w14:textId="77777777" w:rsidR="00947BEF" w:rsidRDefault="00947BEF" w:rsidP="00947BEF">
            <w:pPr>
              <w:rPr>
                <w:rFonts w:ascii="Arial" w:hAnsi="Arial" w:cs="Arial"/>
                <w:sz w:val="24"/>
                <w:szCs w:val="24"/>
                <w:shd w:val="clear" w:color="auto" w:fill="FFFFFF"/>
              </w:rPr>
            </w:pPr>
          </w:p>
          <w:p w14:paraId="4F4036B4" w14:textId="77777777" w:rsidR="00947BEF" w:rsidRPr="00B1314B" w:rsidRDefault="00947BEF" w:rsidP="00947BEF">
            <w:pPr>
              <w:rPr>
                <w:rFonts w:ascii="Arial" w:hAnsi="Arial" w:cs="Arial"/>
                <w:b/>
                <w:bCs/>
                <w:sz w:val="24"/>
                <w:szCs w:val="24"/>
                <w:shd w:val="clear" w:color="auto" w:fill="FFFFFF"/>
              </w:rPr>
            </w:pPr>
            <w:r w:rsidRPr="00B1314B">
              <w:rPr>
                <w:rFonts w:ascii="Arial" w:hAnsi="Arial" w:cs="Arial"/>
                <w:b/>
                <w:bCs/>
                <w:sz w:val="24"/>
                <w:szCs w:val="24"/>
                <w:shd w:val="clear" w:color="auto" w:fill="FFFFFF"/>
              </w:rPr>
              <w:t>Successes</w:t>
            </w:r>
          </w:p>
          <w:p w14:paraId="6D7F65EA" w14:textId="77777777" w:rsidR="00947BEF" w:rsidRDefault="00947BEF" w:rsidP="00947BEF">
            <w:pPr>
              <w:rPr>
                <w:rFonts w:ascii="Arial" w:hAnsi="Arial" w:cs="Arial"/>
                <w:sz w:val="24"/>
                <w:szCs w:val="24"/>
                <w:shd w:val="clear" w:color="auto" w:fill="FFFFFF"/>
              </w:rPr>
            </w:pPr>
          </w:p>
          <w:p w14:paraId="4B75A9A2" w14:textId="77777777" w:rsidR="00947BEF" w:rsidRDefault="00947BEF" w:rsidP="00947BEF">
            <w:pPr>
              <w:rPr>
                <w:rFonts w:ascii="Arial" w:hAnsi="Arial" w:cs="Arial"/>
                <w:i/>
                <w:sz w:val="24"/>
                <w:szCs w:val="24"/>
                <w:shd w:val="clear" w:color="auto" w:fill="FFFFFF"/>
              </w:rPr>
            </w:pPr>
            <w:r w:rsidRPr="00B1314B">
              <w:rPr>
                <w:rFonts w:ascii="Arial" w:hAnsi="Arial" w:cs="Arial"/>
                <w:sz w:val="24"/>
                <w:szCs w:val="24"/>
                <w:shd w:val="clear" w:color="auto" w:fill="FFFFFF"/>
              </w:rPr>
              <w:t xml:space="preserve">As a statutory consultee, </w:t>
            </w:r>
            <w:r>
              <w:rPr>
                <w:rFonts w:ascii="Arial" w:hAnsi="Arial" w:cs="Arial"/>
                <w:sz w:val="24"/>
                <w:szCs w:val="24"/>
                <w:shd w:val="clear" w:color="auto" w:fill="FFFFFF"/>
              </w:rPr>
              <w:t>consideration is taken to</w:t>
            </w:r>
            <w:r w:rsidRPr="00B1314B">
              <w:rPr>
                <w:rFonts w:ascii="Arial" w:hAnsi="Arial" w:cs="Arial"/>
                <w:sz w:val="24"/>
                <w:szCs w:val="24"/>
                <w:shd w:val="clear" w:color="auto" w:fill="FFFFFF"/>
              </w:rPr>
              <w:t xml:space="preserve"> ensure biodiversity is taken into account </w:t>
            </w:r>
            <w:r>
              <w:rPr>
                <w:rFonts w:ascii="Arial" w:hAnsi="Arial" w:cs="Arial"/>
                <w:sz w:val="24"/>
                <w:szCs w:val="24"/>
                <w:shd w:val="clear" w:color="auto" w:fill="FFFFFF"/>
              </w:rPr>
              <w:t>when assessing planning for conversions and developments</w:t>
            </w:r>
            <w:r w:rsidRPr="00B1314B">
              <w:rPr>
                <w:rFonts w:ascii="Arial" w:hAnsi="Arial" w:cs="Arial"/>
                <w:sz w:val="24"/>
                <w:szCs w:val="24"/>
                <w:shd w:val="clear" w:color="auto" w:fill="FFFFFF"/>
              </w:rPr>
              <w:t xml:space="preserve">. This action is in line with the recent Planning Policy (Wales) Act 2016 which states: </w:t>
            </w:r>
            <w:r w:rsidRPr="00B1314B">
              <w:rPr>
                <w:rFonts w:ascii="Arial" w:hAnsi="Arial" w:cs="Arial"/>
                <w:i/>
                <w:sz w:val="24"/>
                <w:szCs w:val="24"/>
                <w:shd w:val="clear" w:color="auto" w:fill="FFFFFF"/>
              </w:rPr>
              <w:t xml:space="preserve">"planning authorities must seek to maintain and enhance biodiversity in the exercise of their functions. This means that development should not cause any significant loss of habitats or population of species, locally or nationally and must provide a net benefit </w:t>
            </w:r>
            <w:r w:rsidRPr="00B1314B">
              <w:rPr>
                <w:rFonts w:ascii="Arial" w:hAnsi="Arial" w:cs="Arial"/>
                <w:i/>
                <w:sz w:val="24"/>
                <w:szCs w:val="24"/>
                <w:shd w:val="clear" w:color="auto" w:fill="FFFFFF"/>
              </w:rPr>
              <w:lastRenderedPageBreak/>
              <w:t>for biodiversity".</w:t>
            </w:r>
          </w:p>
          <w:p w14:paraId="7BF98DC8" w14:textId="77777777" w:rsidR="00947BEF" w:rsidRDefault="00947BEF" w:rsidP="00947BEF">
            <w:pPr>
              <w:rPr>
                <w:rFonts w:ascii="Arial" w:hAnsi="Arial" w:cs="Arial"/>
                <w:b/>
                <w:sz w:val="24"/>
                <w:szCs w:val="24"/>
                <w:u w:val="single"/>
              </w:rPr>
            </w:pPr>
          </w:p>
          <w:p w14:paraId="2FC11B02" w14:textId="77777777" w:rsidR="00947BEF" w:rsidRPr="00B1314B" w:rsidRDefault="00947BEF" w:rsidP="00947BEF">
            <w:pPr>
              <w:rPr>
                <w:rFonts w:ascii="Arial" w:hAnsi="Arial" w:cs="Arial"/>
                <w:b/>
                <w:sz w:val="24"/>
                <w:szCs w:val="24"/>
                <w:u w:val="single"/>
              </w:rPr>
            </w:pPr>
          </w:p>
          <w:p w14:paraId="1E35DE31" w14:textId="77777777" w:rsidR="00947BEF" w:rsidRPr="002D7E92" w:rsidRDefault="00947BEF" w:rsidP="00947BEF">
            <w:pPr>
              <w:spacing w:after="160" w:line="259" w:lineRule="auto"/>
              <w:rPr>
                <w:rFonts w:ascii="Arial" w:hAnsi="Arial" w:cs="Arial"/>
                <w:b/>
                <w:sz w:val="24"/>
                <w:szCs w:val="24"/>
              </w:rPr>
            </w:pPr>
            <w:r w:rsidRPr="002D7E92">
              <w:rPr>
                <w:rFonts w:ascii="Arial" w:hAnsi="Arial" w:cs="Arial"/>
                <w:b/>
                <w:sz w:val="24"/>
                <w:szCs w:val="24"/>
              </w:rPr>
              <w:t>Review of s6 duty</w:t>
            </w:r>
          </w:p>
          <w:p w14:paraId="763001EA" w14:textId="67E9FD3C" w:rsidR="00947BEF" w:rsidRPr="002D7E92" w:rsidRDefault="00947BEF" w:rsidP="00947BEF">
            <w:pPr>
              <w:spacing w:after="160" w:line="259" w:lineRule="auto"/>
              <w:rPr>
                <w:rFonts w:ascii="Arial" w:hAnsi="Arial" w:cs="Arial"/>
                <w:sz w:val="24"/>
                <w:szCs w:val="24"/>
              </w:rPr>
            </w:pPr>
            <w:r>
              <w:rPr>
                <w:rFonts w:ascii="Arial" w:hAnsi="Arial" w:cs="Arial"/>
                <w:sz w:val="24"/>
                <w:szCs w:val="24"/>
              </w:rPr>
              <w:t>There is a commitment for the following action plan to be reviewed and amended where appropriate by the full council on an annual basis.</w:t>
            </w:r>
          </w:p>
        </w:tc>
      </w:tr>
      <w:tr w:rsidR="00947BEF" w:rsidRPr="002D7E92" w14:paraId="145565D8" w14:textId="77777777" w:rsidTr="00AE6B48">
        <w:tc>
          <w:tcPr>
            <w:tcW w:w="9322" w:type="dxa"/>
          </w:tcPr>
          <w:p w14:paraId="63B7917D" w14:textId="5198A475" w:rsidR="00947BEF" w:rsidRPr="002D7E92" w:rsidRDefault="00947BEF" w:rsidP="00AE6B48">
            <w:pPr>
              <w:spacing w:after="160" w:line="259" w:lineRule="auto"/>
              <w:rPr>
                <w:rFonts w:ascii="Arial" w:hAnsi="Arial" w:cs="Arial"/>
                <w:b/>
                <w:sz w:val="24"/>
                <w:szCs w:val="24"/>
              </w:rPr>
            </w:pPr>
            <w:r w:rsidRPr="002D7E92">
              <w:rPr>
                <w:rFonts w:ascii="Arial" w:hAnsi="Arial" w:cs="Arial"/>
                <w:b/>
                <w:sz w:val="24"/>
                <w:szCs w:val="24"/>
              </w:rPr>
              <w:lastRenderedPageBreak/>
              <w:t>Action Report</w:t>
            </w:r>
          </w:p>
        </w:tc>
      </w:tr>
    </w:tbl>
    <w:tbl>
      <w:tblPr>
        <w:tblStyle w:val="TableGrid1"/>
        <w:tblW w:w="9351" w:type="dxa"/>
        <w:tblLook w:val="04A0" w:firstRow="1" w:lastRow="0" w:firstColumn="1" w:lastColumn="0" w:noHBand="0" w:noVBand="1"/>
      </w:tblPr>
      <w:tblGrid>
        <w:gridCol w:w="2655"/>
        <w:gridCol w:w="2119"/>
        <w:gridCol w:w="2876"/>
        <w:gridCol w:w="1701"/>
      </w:tblGrid>
      <w:tr w:rsidR="00947BEF" w14:paraId="6A2F6ED0" w14:textId="77777777" w:rsidTr="00AE6B48">
        <w:trPr>
          <w:trHeight w:val="642"/>
        </w:trPr>
        <w:tc>
          <w:tcPr>
            <w:tcW w:w="2655" w:type="dxa"/>
          </w:tcPr>
          <w:p w14:paraId="2B30C57E" w14:textId="77777777" w:rsidR="00947BEF" w:rsidRPr="00873A37" w:rsidRDefault="00947BEF" w:rsidP="00AE6B48">
            <w:pPr>
              <w:rPr>
                <w:rFonts w:ascii="Arial" w:hAnsi="Arial" w:cs="Arial"/>
                <w:sz w:val="24"/>
                <w:szCs w:val="24"/>
              </w:rPr>
            </w:pPr>
            <w:r>
              <w:rPr>
                <w:rFonts w:ascii="Arial" w:hAnsi="Arial" w:cs="Arial"/>
                <w:sz w:val="24"/>
                <w:szCs w:val="24"/>
              </w:rPr>
              <w:t>Village</w:t>
            </w:r>
          </w:p>
        </w:tc>
        <w:tc>
          <w:tcPr>
            <w:tcW w:w="2119" w:type="dxa"/>
          </w:tcPr>
          <w:p w14:paraId="09154B31" w14:textId="77777777" w:rsidR="00947BEF" w:rsidRDefault="00947BEF" w:rsidP="00AE6B48">
            <w:pPr>
              <w:rPr>
                <w:rFonts w:ascii="Arial" w:hAnsi="Arial" w:cs="Arial"/>
                <w:sz w:val="24"/>
                <w:szCs w:val="24"/>
              </w:rPr>
            </w:pPr>
            <w:r>
              <w:rPr>
                <w:rFonts w:ascii="Arial" w:hAnsi="Arial" w:cs="Arial"/>
                <w:sz w:val="24"/>
                <w:szCs w:val="24"/>
              </w:rPr>
              <w:t>Green asset</w:t>
            </w:r>
          </w:p>
        </w:tc>
        <w:tc>
          <w:tcPr>
            <w:tcW w:w="2876" w:type="dxa"/>
          </w:tcPr>
          <w:p w14:paraId="10F2572B" w14:textId="77777777" w:rsidR="00947BEF" w:rsidRDefault="00947BEF" w:rsidP="00AE6B48">
            <w:pPr>
              <w:rPr>
                <w:rFonts w:ascii="Arial" w:hAnsi="Arial" w:cs="Arial"/>
                <w:sz w:val="24"/>
                <w:szCs w:val="24"/>
              </w:rPr>
            </w:pPr>
            <w:r>
              <w:rPr>
                <w:rFonts w:ascii="Arial" w:hAnsi="Arial" w:cs="Arial"/>
                <w:sz w:val="24"/>
                <w:szCs w:val="24"/>
              </w:rPr>
              <w:t>Action</w:t>
            </w:r>
          </w:p>
        </w:tc>
        <w:tc>
          <w:tcPr>
            <w:tcW w:w="1701" w:type="dxa"/>
          </w:tcPr>
          <w:p w14:paraId="3C06C139" w14:textId="77777777" w:rsidR="00947BEF" w:rsidRPr="009F709A" w:rsidRDefault="00947BEF" w:rsidP="00AE6B48">
            <w:pPr>
              <w:rPr>
                <w:rFonts w:ascii="Arial" w:hAnsi="Arial" w:cs="Arial"/>
                <w:sz w:val="24"/>
                <w:szCs w:val="24"/>
              </w:rPr>
            </w:pPr>
            <w:r>
              <w:rPr>
                <w:rFonts w:ascii="Arial" w:hAnsi="Arial" w:cs="Arial"/>
                <w:sz w:val="24"/>
                <w:szCs w:val="24"/>
              </w:rPr>
              <w:t>Status</w:t>
            </w:r>
          </w:p>
        </w:tc>
      </w:tr>
      <w:tr w:rsidR="00947BEF" w14:paraId="73CA1CBE" w14:textId="77777777" w:rsidTr="00AE6B48">
        <w:trPr>
          <w:trHeight w:val="684"/>
        </w:trPr>
        <w:tc>
          <w:tcPr>
            <w:tcW w:w="2655" w:type="dxa"/>
          </w:tcPr>
          <w:p w14:paraId="38BB09DD" w14:textId="77777777" w:rsidR="00947BEF" w:rsidRDefault="00947BEF" w:rsidP="00AE6B48">
            <w:pPr>
              <w:rPr>
                <w:rFonts w:ascii="Arial" w:hAnsi="Arial" w:cs="Arial"/>
                <w:sz w:val="24"/>
                <w:szCs w:val="24"/>
              </w:rPr>
            </w:pPr>
            <w:proofErr w:type="spellStart"/>
            <w:r>
              <w:rPr>
                <w:rFonts w:ascii="Arial" w:hAnsi="Arial" w:cs="Arial"/>
                <w:sz w:val="24"/>
                <w:szCs w:val="24"/>
              </w:rPr>
              <w:t>Crai</w:t>
            </w:r>
            <w:proofErr w:type="spellEnd"/>
          </w:p>
        </w:tc>
        <w:tc>
          <w:tcPr>
            <w:tcW w:w="2119" w:type="dxa"/>
          </w:tcPr>
          <w:p w14:paraId="7A763720" w14:textId="77777777" w:rsidR="00947BEF" w:rsidRDefault="00947BEF" w:rsidP="00AE6B48">
            <w:pPr>
              <w:rPr>
                <w:rFonts w:ascii="Arial" w:hAnsi="Arial" w:cs="Arial"/>
                <w:sz w:val="24"/>
                <w:szCs w:val="24"/>
              </w:rPr>
            </w:pPr>
            <w:r>
              <w:rPr>
                <w:rFonts w:ascii="Arial" w:hAnsi="Arial" w:cs="Arial"/>
                <w:sz w:val="24"/>
                <w:szCs w:val="24"/>
              </w:rPr>
              <w:t>Dark Skies</w:t>
            </w:r>
          </w:p>
        </w:tc>
        <w:tc>
          <w:tcPr>
            <w:tcW w:w="2876" w:type="dxa"/>
          </w:tcPr>
          <w:p w14:paraId="242DD0A5" w14:textId="77777777" w:rsidR="00947BEF" w:rsidRDefault="00947BEF" w:rsidP="00AE6B48">
            <w:pPr>
              <w:rPr>
                <w:rFonts w:ascii="Arial" w:hAnsi="Arial" w:cs="Arial"/>
                <w:sz w:val="24"/>
                <w:szCs w:val="24"/>
              </w:rPr>
            </w:pPr>
            <w:r>
              <w:rPr>
                <w:rFonts w:ascii="Arial" w:hAnsi="Arial" w:cs="Arial"/>
                <w:sz w:val="24"/>
                <w:szCs w:val="24"/>
              </w:rPr>
              <w:t>Successfully lobbied for replacement of footpath light at the Church for a low light pollution version.</w:t>
            </w:r>
          </w:p>
        </w:tc>
        <w:tc>
          <w:tcPr>
            <w:tcW w:w="1701" w:type="dxa"/>
          </w:tcPr>
          <w:p w14:paraId="0CAA13E6" w14:textId="77777777" w:rsidR="00947BEF" w:rsidRDefault="00947BEF" w:rsidP="00AE6B48">
            <w:pPr>
              <w:rPr>
                <w:rFonts w:ascii="Arial" w:hAnsi="Arial" w:cs="Arial"/>
                <w:sz w:val="24"/>
                <w:szCs w:val="24"/>
              </w:rPr>
            </w:pPr>
            <w:r>
              <w:rPr>
                <w:rFonts w:ascii="Arial" w:hAnsi="Arial" w:cs="Arial"/>
                <w:sz w:val="24"/>
                <w:szCs w:val="24"/>
              </w:rPr>
              <w:t>Complete</w:t>
            </w:r>
          </w:p>
        </w:tc>
      </w:tr>
      <w:tr w:rsidR="00947BEF" w14:paraId="3288363C" w14:textId="77777777" w:rsidTr="00AE6B48">
        <w:trPr>
          <w:trHeight w:val="684"/>
        </w:trPr>
        <w:tc>
          <w:tcPr>
            <w:tcW w:w="2655" w:type="dxa"/>
          </w:tcPr>
          <w:p w14:paraId="2BBD9C16" w14:textId="77777777" w:rsidR="00947BEF" w:rsidRPr="00873A37" w:rsidRDefault="00947BEF" w:rsidP="00AE6B48">
            <w:pPr>
              <w:rPr>
                <w:rFonts w:ascii="Arial" w:hAnsi="Arial" w:cs="Arial"/>
                <w:sz w:val="24"/>
                <w:szCs w:val="24"/>
              </w:rPr>
            </w:pPr>
            <w:proofErr w:type="spellStart"/>
            <w:r>
              <w:rPr>
                <w:rFonts w:ascii="Arial" w:hAnsi="Arial" w:cs="Arial"/>
                <w:sz w:val="24"/>
                <w:szCs w:val="24"/>
              </w:rPr>
              <w:t>Crai</w:t>
            </w:r>
            <w:proofErr w:type="spellEnd"/>
          </w:p>
        </w:tc>
        <w:tc>
          <w:tcPr>
            <w:tcW w:w="2119" w:type="dxa"/>
          </w:tcPr>
          <w:p w14:paraId="2419C399" w14:textId="77777777" w:rsidR="00947BEF" w:rsidRDefault="00947BEF" w:rsidP="00AE6B48">
            <w:pPr>
              <w:rPr>
                <w:rFonts w:ascii="Arial" w:hAnsi="Arial" w:cs="Arial"/>
                <w:sz w:val="24"/>
                <w:szCs w:val="24"/>
              </w:rPr>
            </w:pPr>
            <w:r>
              <w:rPr>
                <w:rFonts w:ascii="Arial" w:hAnsi="Arial" w:cs="Arial"/>
                <w:sz w:val="24"/>
                <w:szCs w:val="24"/>
              </w:rPr>
              <w:t>Local environment</w:t>
            </w:r>
          </w:p>
        </w:tc>
        <w:tc>
          <w:tcPr>
            <w:tcW w:w="2876" w:type="dxa"/>
          </w:tcPr>
          <w:p w14:paraId="0B7182A0" w14:textId="77777777" w:rsidR="00947BEF" w:rsidRDefault="00947BEF" w:rsidP="00AE6B48">
            <w:pPr>
              <w:rPr>
                <w:rFonts w:ascii="Arial" w:hAnsi="Arial" w:cs="Arial"/>
                <w:sz w:val="24"/>
                <w:szCs w:val="24"/>
              </w:rPr>
            </w:pPr>
            <w:r>
              <w:rPr>
                <w:rFonts w:ascii="Arial" w:hAnsi="Arial" w:cs="Arial"/>
                <w:sz w:val="24"/>
                <w:szCs w:val="24"/>
              </w:rPr>
              <w:t>Arrangements in place to allow for addition of flower beds to surround current village name signs on A4067.</w:t>
            </w:r>
          </w:p>
        </w:tc>
        <w:tc>
          <w:tcPr>
            <w:tcW w:w="1701" w:type="dxa"/>
          </w:tcPr>
          <w:p w14:paraId="1CACF6E3" w14:textId="77777777" w:rsidR="00947BEF" w:rsidRDefault="00947BEF" w:rsidP="00AE6B48">
            <w:pPr>
              <w:rPr>
                <w:rFonts w:ascii="Arial" w:hAnsi="Arial" w:cs="Arial"/>
                <w:sz w:val="24"/>
                <w:szCs w:val="24"/>
              </w:rPr>
            </w:pPr>
            <w:r>
              <w:rPr>
                <w:rFonts w:ascii="Arial" w:hAnsi="Arial" w:cs="Arial"/>
                <w:sz w:val="24"/>
                <w:szCs w:val="24"/>
              </w:rPr>
              <w:t>Underway</w:t>
            </w:r>
          </w:p>
        </w:tc>
      </w:tr>
      <w:tr w:rsidR="00947BEF" w14:paraId="146DE5CC" w14:textId="77777777" w:rsidTr="00AE6B48">
        <w:trPr>
          <w:trHeight w:val="562"/>
        </w:trPr>
        <w:tc>
          <w:tcPr>
            <w:tcW w:w="2655" w:type="dxa"/>
          </w:tcPr>
          <w:p w14:paraId="2E95787C" w14:textId="77777777" w:rsidR="00947BEF" w:rsidRPr="004B7C0B" w:rsidRDefault="00947BEF" w:rsidP="00AE6B48">
            <w:pPr>
              <w:rPr>
                <w:rFonts w:ascii="Arial" w:hAnsi="Arial" w:cs="Arial"/>
                <w:sz w:val="24"/>
                <w:szCs w:val="24"/>
              </w:rPr>
            </w:pPr>
            <w:proofErr w:type="spellStart"/>
            <w:r>
              <w:rPr>
                <w:rFonts w:ascii="Arial" w:hAnsi="Arial" w:cs="Arial"/>
                <w:sz w:val="24"/>
                <w:szCs w:val="24"/>
              </w:rPr>
              <w:t>Crai</w:t>
            </w:r>
            <w:proofErr w:type="spellEnd"/>
          </w:p>
        </w:tc>
        <w:tc>
          <w:tcPr>
            <w:tcW w:w="2119" w:type="dxa"/>
          </w:tcPr>
          <w:p w14:paraId="373BFAF9" w14:textId="3690CF71" w:rsidR="00947BEF" w:rsidRPr="004B7C0B" w:rsidRDefault="00947BEF" w:rsidP="00AE6B48">
            <w:pPr>
              <w:rPr>
                <w:rFonts w:ascii="Arial" w:hAnsi="Arial" w:cs="Arial"/>
                <w:sz w:val="24"/>
                <w:szCs w:val="24"/>
              </w:rPr>
            </w:pPr>
            <w:r>
              <w:rPr>
                <w:rFonts w:ascii="Arial" w:hAnsi="Arial" w:cs="Arial"/>
                <w:sz w:val="24"/>
                <w:szCs w:val="24"/>
              </w:rPr>
              <w:t>Sustainable economy</w:t>
            </w:r>
          </w:p>
        </w:tc>
        <w:tc>
          <w:tcPr>
            <w:tcW w:w="2876" w:type="dxa"/>
          </w:tcPr>
          <w:p w14:paraId="1317F8B4" w14:textId="78E0257C" w:rsidR="00947BEF" w:rsidRPr="004B7C0B" w:rsidRDefault="00947BEF" w:rsidP="00AE6B48">
            <w:pPr>
              <w:rPr>
                <w:rFonts w:ascii="Arial" w:hAnsi="Arial" w:cs="Arial"/>
                <w:sz w:val="24"/>
                <w:szCs w:val="24"/>
              </w:rPr>
            </w:pPr>
            <w:r>
              <w:rPr>
                <w:rFonts w:ascii="Arial" w:hAnsi="Arial" w:cs="Arial"/>
                <w:sz w:val="24"/>
                <w:szCs w:val="24"/>
              </w:rPr>
              <w:t>Worked with local community to introduce wireless high speed broadband into the area – one of the first communities in Wales to do so.</w:t>
            </w:r>
          </w:p>
        </w:tc>
        <w:tc>
          <w:tcPr>
            <w:tcW w:w="1701" w:type="dxa"/>
          </w:tcPr>
          <w:p w14:paraId="19ACC77E" w14:textId="7AD9996A" w:rsidR="00947BEF" w:rsidRPr="004B7C0B" w:rsidRDefault="00947BEF" w:rsidP="00AE6B48">
            <w:pPr>
              <w:rPr>
                <w:rFonts w:ascii="Arial" w:hAnsi="Arial" w:cs="Arial"/>
                <w:sz w:val="24"/>
                <w:szCs w:val="24"/>
              </w:rPr>
            </w:pPr>
            <w:r>
              <w:rPr>
                <w:rFonts w:ascii="Arial" w:hAnsi="Arial" w:cs="Arial"/>
                <w:sz w:val="24"/>
                <w:szCs w:val="24"/>
              </w:rPr>
              <w:t>Complete</w:t>
            </w:r>
          </w:p>
        </w:tc>
      </w:tr>
      <w:tr w:rsidR="00947BEF" w14:paraId="10D8A713" w14:textId="77777777" w:rsidTr="00AE6B48">
        <w:trPr>
          <w:trHeight w:val="562"/>
        </w:trPr>
        <w:tc>
          <w:tcPr>
            <w:tcW w:w="2655" w:type="dxa"/>
          </w:tcPr>
          <w:p w14:paraId="57157F5A" w14:textId="17D5D2F6" w:rsidR="00947BEF" w:rsidRPr="004B7C0B" w:rsidRDefault="00947BEF" w:rsidP="00AE6B48">
            <w:pPr>
              <w:rPr>
                <w:rFonts w:ascii="Arial" w:hAnsi="Arial" w:cs="Arial"/>
                <w:sz w:val="24"/>
                <w:szCs w:val="24"/>
              </w:rPr>
            </w:pPr>
            <w:proofErr w:type="spellStart"/>
            <w:r>
              <w:rPr>
                <w:rFonts w:ascii="Arial" w:hAnsi="Arial" w:cs="Arial"/>
                <w:sz w:val="24"/>
                <w:szCs w:val="24"/>
              </w:rPr>
              <w:t>Crai</w:t>
            </w:r>
            <w:proofErr w:type="spellEnd"/>
          </w:p>
        </w:tc>
        <w:tc>
          <w:tcPr>
            <w:tcW w:w="2119" w:type="dxa"/>
          </w:tcPr>
          <w:p w14:paraId="6EC37B08" w14:textId="230C48B2" w:rsidR="00947BEF" w:rsidRPr="004B7C0B" w:rsidRDefault="00947BEF" w:rsidP="00AE6B48">
            <w:pPr>
              <w:rPr>
                <w:rFonts w:ascii="Arial" w:hAnsi="Arial" w:cs="Arial"/>
                <w:sz w:val="24"/>
                <w:szCs w:val="24"/>
              </w:rPr>
            </w:pPr>
            <w:r>
              <w:rPr>
                <w:rFonts w:ascii="Arial" w:hAnsi="Arial" w:cs="Arial"/>
                <w:sz w:val="24"/>
                <w:szCs w:val="24"/>
              </w:rPr>
              <w:t>Vibrant community</w:t>
            </w:r>
          </w:p>
        </w:tc>
        <w:tc>
          <w:tcPr>
            <w:tcW w:w="2876" w:type="dxa"/>
          </w:tcPr>
          <w:p w14:paraId="5C53CBDA" w14:textId="056B37AF" w:rsidR="00947BEF" w:rsidRPr="004B7C0B" w:rsidRDefault="00947BEF" w:rsidP="00AE6B48">
            <w:pPr>
              <w:rPr>
                <w:rFonts w:ascii="Arial" w:hAnsi="Arial" w:cs="Arial"/>
                <w:sz w:val="24"/>
                <w:szCs w:val="24"/>
              </w:rPr>
            </w:pPr>
            <w:r>
              <w:rPr>
                <w:rFonts w:ascii="Arial" w:hAnsi="Arial" w:cs="Arial"/>
                <w:sz w:val="24"/>
                <w:szCs w:val="24"/>
              </w:rPr>
              <w:t>On going annual support to Village Hall and community events to maintain a cohesive community.</w:t>
            </w:r>
          </w:p>
        </w:tc>
        <w:tc>
          <w:tcPr>
            <w:tcW w:w="1701" w:type="dxa"/>
          </w:tcPr>
          <w:p w14:paraId="15C06468" w14:textId="4C7F7AD9" w:rsidR="00947BEF" w:rsidRPr="004B7C0B" w:rsidRDefault="00947BEF" w:rsidP="00AE6B48">
            <w:pPr>
              <w:rPr>
                <w:rFonts w:ascii="Arial" w:hAnsi="Arial" w:cs="Arial"/>
                <w:sz w:val="24"/>
                <w:szCs w:val="24"/>
              </w:rPr>
            </w:pPr>
            <w:r>
              <w:rPr>
                <w:rFonts w:ascii="Arial" w:hAnsi="Arial" w:cs="Arial"/>
                <w:sz w:val="24"/>
                <w:szCs w:val="24"/>
              </w:rPr>
              <w:t>Ongoing</w:t>
            </w:r>
          </w:p>
        </w:tc>
      </w:tr>
      <w:tr w:rsidR="00947BEF" w14:paraId="3A923FDA" w14:textId="77777777" w:rsidTr="00AE6B48">
        <w:trPr>
          <w:trHeight w:val="1046"/>
        </w:trPr>
        <w:tc>
          <w:tcPr>
            <w:tcW w:w="2655" w:type="dxa"/>
          </w:tcPr>
          <w:p w14:paraId="628E4DB4" w14:textId="77777777" w:rsidR="00947BEF" w:rsidRPr="00873A37" w:rsidRDefault="00947BEF" w:rsidP="00AE6B48">
            <w:pPr>
              <w:rPr>
                <w:rFonts w:ascii="Arial" w:hAnsi="Arial" w:cs="Arial"/>
                <w:sz w:val="24"/>
                <w:szCs w:val="24"/>
              </w:rPr>
            </w:pPr>
          </w:p>
        </w:tc>
        <w:tc>
          <w:tcPr>
            <w:tcW w:w="2119" w:type="dxa"/>
          </w:tcPr>
          <w:p w14:paraId="0847EF60" w14:textId="77777777" w:rsidR="00947BEF" w:rsidRDefault="00947BEF" w:rsidP="00AE6B48">
            <w:pPr>
              <w:rPr>
                <w:rFonts w:ascii="Arial" w:hAnsi="Arial" w:cs="Arial"/>
                <w:sz w:val="24"/>
                <w:szCs w:val="24"/>
              </w:rPr>
            </w:pPr>
          </w:p>
        </w:tc>
        <w:tc>
          <w:tcPr>
            <w:tcW w:w="2876" w:type="dxa"/>
          </w:tcPr>
          <w:p w14:paraId="4AB6E874" w14:textId="77777777" w:rsidR="00947BEF" w:rsidRDefault="00947BEF" w:rsidP="00AE6B48">
            <w:pPr>
              <w:rPr>
                <w:rFonts w:ascii="Arial" w:hAnsi="Arial" w:cs="Arial"/>
                <w:sz w:val="24"/>
                <w:szCs w:val="24"/>
              </w:rPr>
            </w:pPr>
          </w:p>
        </w:tc>
        <w:tc>
          <w:tcPr>
            <w:tcW w:w="1701" w:type="dxa"/>
          </w:tcPr>
          <w:p w14:paraId="660074EB" w14:textId="77777777" w:rsidR="00947BEF" w:rsidRDefault="00947BEF" w:rsidP="00AE6B48">
            <w:pPr>
              <w:rPr>
                <w:rFonts w:ascii="Arial" w:hAnsi="Arial" w:cs="Arial"/>
                <w:sz w:val="24"/>
                <w:szCs w:val="24"/>
              </w:rPr>
            </w:pPr>
          </w:p>
        </w:tc>
      </w:tr>
      <w:tr w:rsidR="00947BEF" w14:paraId="7F37FCC8" w14:textId="77777777" w:rsidTr="00AE6B48">
        <w:trPr>
          <w:trHeight w:val="1001"/>
        </w:trPr>
        <w:tc>
          <w:tcPr>
            <w:tcW w:w="2655" w:type="dxa"/>
          </w:tcPr>
          <w:p w14:paraId="17A857ED" w14:textId="77777777" w:rsidR="00947BEF" w:rsidRPr="00873A37" w:rsidRDefault="00947BEF" w:rsidP="00AE6B48">
            <w:pPr>
              <w:rPr>
                <w:rFonts w:ascii="Arial" w:hAnsi="Arial" w:cs="Arial"/>
                <w:sz w:val="24"/>
                <w:szCs w:val="24"/>
              </w:rPr>
            </w:pPr>
          </w:p>
        </w:tc>
        <w:tc>
          <w:tcPr>
            <w:tcW w:w="2119" w:type="dxa"/>
          </w:tcPr>
          <w:p w14:paraId="3041EEBF" w14:textId="77777777" w:rsidR="00947BEF" w:rsidRDefault="00947BEF" w:rsidP="00AE6B48">
            <w:pPr>
              <w:rPr>
                <w:rFonts w:ascii="Arial" w:hAnsi="Arial" w:cs="Arial"/>
                <w:sz w:val="24"/>
                <w:szCs w:val="24"/>
              </w:rPr>
            </w:pPr>
          </w:p>
        </w:tc>
        <w:tc>
          <w:tcPr>
            <w:tcW w:w="2876" w:type="dxa"/>
          </w:tcPr>
          <w:p w14:paraId="6C70F272" w14:textId="77777777" w:rsidR="00947BEF" w:rsidRDefault="00947BEF" w:rsidP="00AE6B48">
            <w:pPr>
              <w:rPr>
                <w:rFonts w:ascii="Arial" w:hAnsi="Arial" w:cs="Arial"/>
                <w:sz w:val="24"/>
                <w:szCs w:val="24"/>
              </w:rPr>
            </w:pPr>
          </w:p>
        </w:tc>
        <w:tc>
          <w:tcPr>
            <w:tcW w:w="1701" w:type="dxa"/>
          </w:tcPr>
          <w:p w14:paraId="4411F02E" w14:textId="77777777" w:rsidR="00947BEF" w:rsidRDefault="00947BEF" w:rsidP="00AE6B48">
            <w:pPr>
              <w:rPr>
                <w:rFonts w:ascii="Arial" w:hAnsi="Arial" w:cs="Arial"/>
                <w:sz w:val="24"/>
                <w:szCs w:val="24"/>
              </w:rPr>
            </w:pPr>
          </w:p>
        </w:tc>
      </w:tr>
    </w:tbl>
    <w:tbl>
      <w:tblPr>
        <w:tblStyle w:val="TableGrid"/>
        <w:tblW w:w="9322" w:type="dxa"/>
        <w:tblLook w:val="04A0" w:firstRow="1" w:lastRow="0" w:firstColumn="1" w:lastColumn="0" w:noHBand="0" w:noVBand="1"/>
      </w:tblPr>
      <w:tblGrid>
        <w:gridCol w:w="9322"/>
      </w:tblGrid>
      <w:tr w:rsidR="00947BEF" w:rsidRPr="002D7E92" w14:paraId="55EF14F5" w14:textId="77777777" w:rsidTr="00AE6B48">
        <w:tc>
          <w:tcPr>
            <w:tcW w:w="9322" w:type="dxa"/>
          </w:tcPr>
          <w:p w14:paraId="2DADBAB7" w14:textId="77777777" w:rsidR="00947BEF" w:rsidRDefault="00947BEF" w:rsidP="00AE6B48">
            <w:pPr>
              <w:spacing w:after="160" w:line="259" w:lineRule="auto"/>
              <w:rPr>
                <w:rFonts w:ascii="Arial" w:hAnsi="Arial" w:cs="Arial"/>
                <w:b/>
                <w:sz w:val="24"/>
                <w:szCs w:val="24"/>
              </w:rPr>
            </w:pPr>
            <w:r>
              <w:rPr>
                <w:rFonts w:ascii="Arial" w:hAnsi="Arial" w:cs="Arial"/>
                <w:b/>
                <w:sz w:val="24"/>
                <w:szCs w:val="24"/>
              </w:rPr>
              <w:t xml:space="preserve">Date Passed: </w:t>
            </w:r>
          </w:p>
          <w:p w14:paraId="7CE0C4E9" w14:textId="77777777" w:rsidR="00947BEF" w:rsidRPr="002D7E92" w:rsidRDefault="00947BEF" w:rsidP="00AE6B48">
            <w:pPr>
              <w:spacing w:after="160" w:line="259" w:lineRule="auto"/>
              <w:rPr>
                <w:rFonts w:ascii="Arial" w:hAnsi="Arial" w:cs="Arial"/>
                <w:b/>
                <w:sz w:val="24"/>
                <w:szCs w:val="24"/>
              </w:rPr>
            </w:pPr>
            <w:r>
              <w:rPr>
                <w:rFonts w:ascii="Arial" w:hAnsi="Arial" w:cs="Arial"/>
                <w:b/>
                <w:sz w:val="24"/>
                <w:szCs w:val="24"/>
              </w:rPr>
              <w:t>Signature of Chair:</w:t>
            </w:r>
          </w:p>
        </w:tc>
      </w:tr>
      <w:tr w:rsidR="00947BEF" w:rsidRPr="002D7E92" w14:paraId="3CF5408E" w14:textId="77777777" w:rsidTr="00AE6B48">
        <w:tc>
          <w:tcPr>
            <w:tcW w:w="9322" w:type="dxa"/>
          </w:tcPr>
          <w:p w14:paraId="5003CDA6" w14:textId="77777777" w:rsidR="00947BEF" w:rsidRPr="002D7E92" w:rsidRDefault="00947BEF" w:rsidP="00AE6B48">
            <w:pPr>
              <w:spacing w:after="160" w:line="259" w:lineRule="auto"/>
              <w:rPr>
                <w:rFonts w:ascii="Arial" w:hAnsi="Arial" w:cs="Arial"/>
                <w:sz w:val="24"/>
                <w:szCs w:val="24"/>
              </w:rPr>
            </w:pPr>
            <w:r>
              <w:rPr>
                <w:rFonts w:ascii="Arial" w:hAnsi="Arial" w:cs="Arial"/>
                <w:sz w:val="24"/>
                <w:szCs w:val="24"/>
              </w:rPr>
              <w:t xml:space="preserve">To be reviewed on:  </w:t>
            </w:r>
          </w:p>
        </w:tc>
      </w:tr>
    </w:tbl>
    <w:p w14:paraId="159B14AC" w14:textId="77777777" w:rsidR="008D5222" w:rsidRDefault="008D5222"/>
    <w:sectPr w:rsidR="008D52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CE200" w14:textId="77777777" w:rsidR="001E4858" w:rsidRDefault="001E4858" w:rsidP="00947BEF">
      <w:pPr>
        <w:spacing w:after="0" w:line="240" w:lineRule="auto"/>
      </w:pPr>
      <w:r>
        <w:separator/>
      </w:r>
    </w:p>
  </w:endnote>
  <w:endnote w:type="continuationSeparator" w:id="0">
    <w:p w14:paraId="7C509A58" w14:textId="77777777" w:rsidR="001E4858" w:rsidRDefault="001E4858" w:rsidP="0094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E452F" w14:textId="77777777" w:rsidR="001E4858" w:rsidRDefault="001E4858" w:rsidP="00947BEF">
      <w:pPr>
        <w:spacing w:after="0" w:line="240" w:lineRule="auto"/>
      </w:pPr>
      <w:r>
        <w:separator/>
      </w:r>
    </w:p>
  </w:footnote>
  <w:footnote w:type="continuationSeparator" w:id="0">
    <w:p w14:paraId="3895F113" w14:textId="77777777" w:rsidR="001E4858" w:rsidRDefault="001E4858" w:rsidP="00947BEF">
      <w:pPr>
        <w:spacing w:after="0" w:line="240" w:lineRule="auto"/>
      </w:pPr>
      <w:r>
        <w:continuationSeparator/>
      </w:r>
    </w:p>
  </w:footnote>
  <w:footnote w:id="1">
    <w:p w14:paraId="0ADC5AD7" w14:textId="77777777" w:rsidR="00947BEF" w:rsidRPr="00D92D10" w:rsidRDefault="00947BEF" w:rsidP="00D92D10">
      <w:pPr>
        <w:pStyle w:val="Default"/>
        <w:rPr>
          <w:sz w:val="16"/>
          <w:szCs w:val="16"/>
        </w:rPr>
      </w:pPr>
      <w:r>
        <w:rPr>
          <w:rStyle w:val="FootnoteReference"/>
        </w:rPr>
        <w:footnoteRef/>
      </w:r>
      <w:r>
        <w:t xml:space="preserve">  </w:t>
      </w:r>
      <w:r w:rsidRPr="00D92D10">
        <w:rPr>
          <w:sz w:val="16"/>
          <w:szCs w:val="16"/>
        </w:rPr>
        <w:t xml:space="preserve">Office of National Statistics. (2011). </w:t>
      </w:r>
      <w:r w:rsidRPr="00D92D10">
        <w:rPr>
          <w:i/>
          <w:iCs/>
          <w:sz w:val="16"/>
          <w:szCs w:val="16"/>
        </w:rPr>
        <w:t xml:space="preserve">Cray Parish, Local area report </w:t>
      </w:r>
      <w:r w:rsidRPr="00D92D10">
        <w:rPr>
          <w:sz w:val="16"/>
          <w:szCs w:val="16"/>
        </w:rPr>
        <w:t xml:space="preserve">retrieved from </w:t>
      </w:r>
      <w:r w:rsidRPr="00D92D10">
        <w:rPr>
          <w:i/>
          <w:iCs/>
          <w:sz w:val="16"/>
          <w:szCs w:val="16"/>
        </w:rPr>
        <w:t>https://www.nomisweb.co.uk/reports/localarea?compare=W04000266</w:t>
      </w:r>
    </w:p>
  </w:footnote>
  <w:footnote w:id="2">
    <w:p w14:paraId="4295902B" w14:textId="77777777" w:rsidR="00947BEF" w:rsidRPr="00D92D10" w:rsidRDefault="00947BEF" w:rsidP="00D92D10">
      <w:pPr>
        <w:pStyle w:val="Default"/>
        <w:rPr>
          <w:sz w:val="16"/>
          <w:szCs w:val="16"/>
        </w:rPr>
      </w:pPr>
      <w:r w:rsidRPr="00D92D10">
        <w:rPr>
          <w:rStyle w:val="FootnoteReference"/>
          <w:sz w:val="16"/>
          <w:szCs w:val="16"/>
        </w:rPr>
        <w:footnoteRef/>
      </w:r>
      <w:r w:rsidRPr="00D92D10">
        <w:rPr>
          <w:sz w:val="16"/>
          <w:szCs w:val="16"/>
        </w:rPr>
        <w:t xml:space="preserve">  Office of National Statistics. (2020). </w:t>
      </w:r>
      <w:r w:rsidRPr="00D92D10">
        <w:rPr>
          <w:i/>
          <w:iCs/>
          <w:sz w:val="16"/>
          <w:szCs w:val="16"/>
        </w:rPr>
        <w:t>Labour market overview, UK: November 2020</w:t>
      </w:r>
      <w:r w:rsidRPr="00D92D10">
        <w:rPr>
          <w:sz w:val="16"/>
          <w:szCs w:val="16"/>
        </w:rPr>
        <w:t xml:space="preserve">retrieved from https://www.ons.gov.uk/employmentandlabourmarket/peopleinwork/employmentandemployeetypes/bulletins/ </w:t>
      </w:r>
      <w:proofErr w:type="spellStart"/>
      <w:r w:rsidRPr="00D92D10">
        <w:rPr>
          <w:sz w:val="16"/>
          <w:szCs w:val="16"/>
        </w:rPr>
        <w:t>uklabourmarket</w:t>
      </w:r>
      <w:proofErr w:type="spellEnd"/>
      <w:r w:rsidRPr="00D92D10">
        <w:rPr>
          <w:sz w:val="16"/>
          <w:szCs w:val="16"/>
        </w:rPr>
        <w:t>/november2020</w:t>
      </w:r>
      <w:r>
        <w:rPr>
          <w:sz w:val="16"/>
          <w:szCs w:val="16"/>
        </w:rPr>
        <w:t xml:space="preserve"> </w:t>
      </w:r>
    </w:p>
  </w:footnote>
  <w:footnote w:id="3">
    <w:p w14:paraId="7EC8A5F2" w14:textId="77777777" w:rsidR="00947BEF" w:rsidRDefault="00947BEF" w:rsidP="00D92D10">
      <w:pPr>
        <w:pStyle w:val="Default"/>
        <w:rPr>
          <w:sz w:val="16"/>
          <w:szCs w:val="16"/>
        </w:rPr>
      </w:pPr>
      <w:r w:rsidRPr="00D92D10">
        <w:rPr>
          <w:rStyle w:val="FootnoteReference"/>
          <w:sz w:val="16"/>
          <w:szCs w:val="16"/>
        </w:rPr>
        <w:footnoteRef/>
      </w:r>
      <w:r>
        <w:t xml:space="preserve">  </w:t>
      </w:r>
      <w:r>
        <w:rPr>
          <w:sz w:val="16"/>
          <w:szCs w:val="16"/>
        </w:rPr>
        <w:t xml:space="preserve">Welsh Government. (2019). </w:t>
      </w:r>
      <w:r>
        <w:rPr>
          <w:i/>
          <w:iCs/>
          <w:sz w:val="16"/>
          <w:szCs w:val="16"/>
        </w:rPr>
        <w:t>Welsh Index of Multiple Deprivation (WIMD) 2019: Results report (</w:t>
      </w:r>
      <w:proofErr w:type="spellStart"/>
      <w:r>
        <w:rPr>
          <w:i/>
          <w:iCs/>
          <w:sz w:val="16"/>
          <w:szCs w:val="16"/>
        </w:rPr>
        <w:t>gov.wales</w:t>
      </w:r>
      <w:proofErr w:type="spellEnd"/>
      <w:r>
        <w:rPr>
          <w:i/>
          <w:iCs/>
          <w:sz w:val="16"/>
          <w:szCs w:val="16"/>
        </w:rPr>
        <w:t xml:space="preserve">) </w:t>
      </w:r>
      <w:r>
        <w:rPr>
          <w:sz w:val="16"/>
          <w:szCs w:val="16"/>
        </w:rPr>
        <w:t>retrieved from https://gov.wales/sites/default/files/statistics-and-research/2020-06/welsh-index-multiple-deprivation-2019-results-report.pdf</w:t>
      </w:r>
    </w:p>
    <w:p w14:paraId="72933D6E" w14:textId="77777777" w:rsidR="00947BEF" w:rsidRDefault="00947BEF" w:rsidP="00D92D10">
      <w:pPr>
        <w:pStyle w:val="FootnoteText"/>
      </w:pPr>
      <w:r>
        <w:rPr>
          <w:sz w:val="16"/>
          <w:szCs w:val="16"/>
        </w:rPr>
        <w:t>Ref. 4 –</w:t>
      </w:r>
      <w:proofErr w:type="spellStart"/>
      <w:r>
        <w:rPr>
          <w:sz w:val="16"/>
          <w:szCs w:val="16"/>
        </w:rPr>
        <w:t>DwrCymru</w:t>
      </w:r>
      <w:proofErr w:type="spellEnd"/>
      <w:r>
        <w:rPr>
          <w:sz w:val="16"/>
          <w:szCs w:val="16"/>
        </w:rPr>
        <w:t xml:space="preserve"> Welsh Water</w:t>
      </w:r>
      <w:proofErr w:type="gramStart"/>
      <w:r>
        <w:rPr>
          <w:i/>
          <w:iCs/>
          <w:sz w:val="16"/>
          <w:szCs w:val="16"/>
        </w:rPr>
        <w:t>.</w:t>
      </w:r>
      <w:r>
        <w:rPr>
          <w:sz w:val="16"/>
          <w:szCs w:val="16"/>
        </w:rPr>
        <w:t>(</w:t>
      </w:r>
      <w:proofErr w:type="gramEnd"/>
      <w:r>
        <w:rPr>
          <w:sz w:val="16"/>
          <w:szCs w:val="16"/>
        </w:rPr>
        <w:t>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37BC"/>
    <w:multiLevelType w:val="hybridMultilevel"/>
    <w:tmpl w:val="49666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33"/>
    <w:rsid w:val="000B4433"/>
    <w:rsid w:val="001E4858"/>
    <w:rsid w:val="002B0AFA"/>
    <w:rsid w:val="008D5222"/>
    <w:rsid w:val="00947BEF"/>
    <w:rsid w:val="00EF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433"/>
    <w:pPr>
      <w:ind w:left="720"/>
      <w:contextualSpacing/>
    </w:pPr>
  </w:style>
  <w:style w:type="paragraph" w:styleId="FootnoteText">
    <w:name w:val="footnote text"/>
    <w:basedOn w:val="Normal"/>
    <w:link w:val="FootnoteTextChar"/>
    <w:uiPriority w:val="99"/>
    <w:unhideWhenUsed/>
    <w:rsid w:val="00947BE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47B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47BEF"/>
    <w:rPr>
      <w:vertAlign w:val="superscript"/>
    </w:rPr>
  </w:style>
  <w:style w:type="paragraph" w:customStyle="1" w:styleId="Default">
    <w:name w:val="Default"/>
    <w:rsid w:val="00947BE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947BEF"/>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433"/>
    <w:pPr>
      <w:ind w:left="720"/>
      <w:contextualSpacing/>
    </w:pPr>
  </w:style>
  <w:style w:type="paragraph" w:styleId="FootnoteText">
    <w:name w:val="footnote text"/>
    <w:basedOn w:val="Normal"/>
    <w:link w:val="FootnoteTextChar"/>
    <w:uiPriority w:val="99"/>
    <w:unhideWhenUsed/>
    <w:rsid w:val="00947BE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47B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47BEF"/>
    <w:rPr>
      <w:vertAlign w:val="superscript"/>
    </w:rPr>
  </w:style>
  <w:style w:type="paragraph" w:customStyle="1" w:styleId="Default">
    <w:name w:val="Default"/>
    <w:rsid w:val="00947BE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947BEF"/>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Graeme (CCRA - ERA - Environmental Protection)</dc:creator>
  <cp:lastModifiedBy>User</cp:lastModifiedBy>
  <cp:revision>2</cp:revision>
  <dcterms:created xsi:type="dcterms:W3CDTF">2023-04-24T10:22:00Z</dcterms:created>
  <dcterms:modified xsi:type="dcterms:W3CDTF">2023-04-24T10:22:00Z</dcterms:modified>
</cp:coreProperties>
</file>